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29" w:rsidRDefault="00E41A81" w:rsidP="00CF0346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Université des Frères </w:t>
      </w:r>
      <w:proofErr w:type="spellStart"/>
      <w:r>
        <w:rPr>
          <w:rFonts w:asciiTheme="majorBidi" w:hAnsiTheme="majorBidi" w:cstheme="majorBidi"/>
        </w:rPr>
        <w:t>Mentouri</w:t>
      </w:r>
      <w:proofErr w:type="spellEnd"/>
      <w:r>
        <w:rPr>
          <w:rFonts w:asciiTheme="majorBidi" w:hAnsiTheme="majorBidi" w:cstheme="majorBidi"/>
        </w:rPr>
        <w:t xml:space="preserve"> 1</w:t>
      </w:r>
    </w:p>
    <w:p w:rsidR="00E41A81" w:rsidRDefault="00E41A81" w:rsidP="00CF0346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Faculté des Sciences de la Nature et de la vie</w:t>
      </w:r>
    </w:p>
    <w:p w:rsidR="00E41A81" w:rsidRDefault="00E41A81" w:rsidP="00CF0346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Département de Microbiologie</w:t>
      </w:r>
    </w:p>
    <w:p w:rsidR="00E41A81" w:rsidRDefault="00E41A81" w:rsidP="00CF0346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Master 1 : </w:t>
      </w:r>
      <w:r w:rsidR="00CF0346">
        <w:rPr>
          <w:rFonts w:asciiTheme="majorBidi" w:hAnsiTheme="majorBidi" w:cstheme="majorBidi"/>
        </w:rPr>
        <w:t>Mycologie et Biotechnologie fongique</w:t>
      </w:r>
    </w:p>
    <w:p w:rsidR="00A52D73" w:rsidRDefault="00A52D73" w:rsidP="00A52D73">
      <w:pPr>
        <w:rPr>
          <w:rFonts w:asciiTheme="majorBidi" w:hAnsiTheme="majorBidi" w:cstheme="majorBidi"/>
          <w:sz w:val="28"/>
          <w:szCs w:val="28"/>
        </w:rPr>
      </w:pPr>
    </w:p>
    <w:p w:rsidR="002F4217" w:rsidRDefault="00CF0346" w:rsidP="00CF0346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Matière : </w:t>
      </w:r>
      <w:r w:rsidR="007E49F5">
        <w:rPr>
          <w:rFonts w:asciiTheme="majorBidi" w:hAnsiTheme="majorBidi" w:cstheme="majorBidi"/>
          <w:b/>
          <w:bCs/>
          <w:u w:val="single"/>
        </w:rPr>
        <w:t>Biotechnologique</w:t>
      </w:r>
      <w:r>
        <w:rPr>
          <w:rFonts w:asciiTheme="majorBidi" w:hAnsiTheme="majorBidi" w:cstheme="majorBidi"/>
          <w:b/>
          <w:bCs/>
          <w:u w:val="single"/>
        </w:rPr>
        <w:t xml:space="preserve"> fongique II</w:t>
      </w:r>
    </w:p>
    <w:p w:rsidR="00F1318E" w:rsidRDefault="00F1318E" w:rsidP="00B76756">
      <w:pPr>
        <w:tabs>
          <w:tab w:val="left" w:pos="1950"/>
          <w:tab w:val="center" w:pos="4536"/>
        </w:tabs>
        <w:rPr>
          <w:rFonts w:asciiTheme="majorBidi" w:hAnsiTheme="majorBidi" w:cstheme="majorBidi"/>
          <w:b/>
          <w:bCs/>
          <w:sz w:val="28"/>
          <w:szCs w:val="28"/>
          <w:u w:val="wave"/>
        </w:rPr>
      </w:pPr>
    </w:p>
    <w:p w:rsidR="00E41A81" w:rsidRPr="00C04DB3" w:rsidRDefault="005B5946" w:rsidP="00CF0346">
      <w:pPr>
        <w:tabs>
          <w:tab w:val="left" w:pos="1950"/>
          <w:tab w:val="center" w:pos="4536"/>
        </w:tabs>
        <w:jc w:val="center"/>
        <w:rPr>
          <w:rFonts w:asciiTheme="majorBidi" w:hAnsiTheme="majorBidi" w:cstheme="majorBidi"/>
          <w:sz w:val="28"/>
          <w:szCs w:val="28"/>
        </w:rPr>
      </w:pPr>
      <w:r w:rsidRPr="00C04DB3">
        <w:rPr>
          <w:rFonts w:asciiTheme="majorBidi" w:hAnsiTheme="majorBidi" w:cstheme="majorBidi"/>
          <w:b/>
          <w:bCs/>
          <w:sz w:val="28"/>
          <w:szCs w:val="28"/>
          <w:u w:val="wave"/>
        </w:rPr>
        <w:t>TP1</w:t>
      </w:r>
      <w:r w:rsidR="00E41A81" w:rsidRPr="00C04DB3">
        <w:rPr>
          <w:rFonts w:asciiTheme="majorBidi" w:hAnsiTheme="majorBidi" w:cstheme="majorBidi"/>
          <w:b/>
          <w:bCs/>
          <w:sz w:val="28"/>
          <w:szCs w:val="28"/>
          <w:u w:val="wave"/>
        </w:rPr>
        <w:t xml:space="preserve">: </w:t>
      </w:r>
      <w:r w:rsidR="00CF0346">
        <w:rPr>
          <w:rFonts w:asciiTheme="majorBidi" w:hAnsiTheme="majorBidi" w:cstheme="majorBidi"/>
          <w:b/>
          <w:bCs/>
          <w:sz w:val="28"/>
          <w:szCs w:val="28"/>
          <w:u w:val="wave"/>
        </w:rPr>
        <w:t>identification de quelques espèces fongiques (</w:t>
      </w:r>
      <w:proofErr w:type="spellStart"/>
      <w:r w:rsidR="00CF0346">
        <w:rPr>
          <w:rFonts w:asciiTheme="majorBidi" w:hAnsiTheme="majorBidi" w:cstheme="majorBidi"/>
          <w:b/>
          <w:bCs/>
          <w:i/>
          <w:iCs/>
          <w:sz w:val="28"/>
          <w:szCs w:val="28"/>
          <w:u w:val="wave"/>
        </w:rPr>
        <w:t>Trichod</w:t>
      </w:r>
      <w:r w:rsidR="00CF0346" w:rsidRPr="00CF0346">
        <w:rPr>
          <w:rFonts w:asciiTheme="majorBidi" w:hAnsiTheme="majorBidi" w:cstheme="majorBidi"/>
          <w:b/>
          <w:bCs/>
          <w:i/>
          <w:iCs/>
          <w:sz w:val="28"/>
          <w:szCs w:val="28"/>
          <w:u w:val="wave"/>
        </w:rPr>
        <w:t>erma</w:t>
      </w:r>
      <w:proofErr w:type="spellEnd"/>
      <w:r w:rsidR="00CF0346" w:rsidRPr="00CF0346">
        <w:rPr>
          <w:rFonts w:asciiTheme="majorBidi" w:hAnsiTheme="majorBidi" w:cstheme="majorBidi"/>
          <w:b/>
          <w:bCs/>
          <w:i/>
          <w:iCs/>
          <w:sz w:val="28"/>
          <w:szCs w:val="28"/>
          <w:u w:val="wave"/>
        </w:rPr>
        <w:t xml:space="preserve"> </w:t>
      </w:r>
      <w:proofErr w:type="spellStart"/>
      <w:r w:rsidR="00CF0346" w:rsidRPr="00CF0346">
        <w:rPr>
          <w:rFonts w:asciiTheme="majorBidi" w:hAnsiTheme="majorBidi" w:cstheme="majorBidi"/>
          <w:b/>
          <w:bCs/>
          <w:i/>
          <w:iCs/>
          <w:sz w:val="28"/>
          <w:szCs w:val="28"/>
          <w:u w:val="wave"/>
        </w:rPr>
        <w:t>harzianum</w:t>
      </w:r>
      <w:proofErr w:type="spellEnd"/>
      <w:r w:rsidR="00CF0346" w:rsidRPr="00CF0346">
        <w:rPr>
          <w:rFonts w:asciiTheme="majorBidi" w:hAnsiTheme="majorBidi" w:cstheme="majorBidi"/>
          <w:b/>
          <w:bCs/>
          <w:i/>
          <w:iCs/>
          <w:sz w:val="28"/>
          <w:szCs w:val="28"/>
          <w:u w:val="wave"/>
        </w:rPr>
        <w:t xml:space="preserve">, </w:t>
      </w:r>
      <w:proofErr w:type="spellStart"/>
      <w:r w:rsidR="00CF0346" w:rsidRPr="00CF0346">
        <w:rPr>
          <w:rFonts w:asciiTheme="majorBidi" w:hAnsiTheme="majorBidi" w:cstheme="majorBidi"/>
          <w:b/>
          <w:bCs/>
          <w:i/>
          <w:iCs/>
          <w:sz w:val="28"/>
          <w:szCs w:val="28"/>
          <w:u w:val="wave"/>
        </w:rPr>
        <w:t>Fusariumsonali</w:t>
      </w:r>
      <w:r w:rsidR="00CF0346" w:rsidRPr="00CF0346">
        <w:rPr>
          <w:rFonts w:asciiTheme="majorBidi" w:hAnsiTheme="majorBidi" w:cstheme="majorBidi"/>
          <w:b/>
          <w:bCs/>
          <w:sz w:val="28"/>
          <w:szCs w:val="28"/>
          <w:u w:val="wave"/>
        </w:rPr>
        <w:t>et</w:t>
      </w:r>
      <w:r w:rsidR="00CF0346" w:rsidRPr="00CF0346">
        <w:rPr>
          <w:rFonts w:asciiTheme="majorBidi" w:hAnsiTheme="majorBidi" w:cstheme="majorBidi"/>
          <w:b/>
          <w:bCs/>
          <w:i/>
          <w:iCs/>
          <w:sz w:val="28"/>
          <w:szCs w:val="28"/>
          <w:u w:val="wave"/>
        </w:rPr>
        <w:t>Fusariumoxysporium</w:t>
      </w:r>
      <w:proofErr w:type="spellEnd"/>
      <w:r w:rsidR="00CF0346">
        <w:rPr>
          <w:rFonts w:asciiTheme="majorBidi" w:hAnsiTheme="majorBidi" w:cstheme="majorBidi"/>
          <w:b/>
          <w:bCs/>
          <w:sz w:val="28"/>
          <w:szCs w:val="28"/>
          <w:u w:val="wave"/>
        </w:rPr>
        <w:t>)</w:t>
      </w:r>
    </w:p>
    <w:p w:rsidR="00E41A81" w:rsidRDefault="00E41A81" w:rsidP="00BD4F59">
      <w:pPr>
        <w:jc w:val="center"/>
        <w:rPr>
          <w:rFonts w:asciiTheme="majorBidi" w:hAnsiTheme="majorBidi" w:cstheme="majorBidi"/>
          <w:b/>
          <w:bCs/>
          <w:sz w:val="28"/>
          <w:szCs w:val="28"/>
          <w:u w:val="wave"/>
        </w:rPr>
      </w:pPr>
    </w:p>
    <w:p w:rsidR="00E41A81" w:rsidRDefault="00DB7C41" w:rsidP="00E41A81">
      <w:pPr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>
        <w:rPr>
          <w:rFonts w:asciiTheme="majorBidi" w:hAnsiTheme="majorBidi" w:cstheme="majorBidi"/>
          <w:b/>
          <w:bCs/>
          <w:sz w:val="28"/>
          <w:szCs w:val="28"/>
          <w:u w:val="thick"/>
        </w:rPr>
        <w:t>But</w:t>
      </w:r>
    </w:p>
    <w:p w:rsidR="00E41A81" w:rsidRDefault="00CF0346" w:rsidP="00301E0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Identification macroscopique et microscopique de quelques souches fongiques pathogènes et antagoniste</w:t>
      </w:r>
      <w:r w:rsidR="00E41A81">
        <w:rPr>
          <w:rFonts w:asciiTheme="majorBidi" w:hAnsiTheme="majorBidi" w:cstheme="majorBidi"/>
          <w:sz w:val="24"/>
          <w:szCs w:val="24"/>
        </w:rPr>
        <w:t> :</w:t>
      </w:r>
    </w:p>
    <w:p w:rsidR="00E41A81" w:rsidRDefault="00CF0346" w:rsidP="00301E0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Une souche de </w:t>
      </w:r>
      <w:r w:rsidRPr="00CF0346">
        <w:rPr>
          <w:rFonts w:asciiTheme="majorBidi" w:hAnsiTheme="majorBidi" w:cstheme="majorBidi"/>
          <w:i/>
          <w:iCs/>
          <w:sz w:val="24"/>
          <w:szCs w:val="24"/>
        </w:rPr>
        <w:t>Trichoderma harzianum</w:t>
      </w:r>
      <w:r>
        <w:rPr>
          <w:rFonts w:asciiTheme="majorBidi" w:hAnsiTheme="majorBidi" w:cstheme="majorBidi"/>
          <w:sz w:val="24"/>
          <w:szCs w:val="24"/>
        </w:rPr>
        <w:t xml:space="preserve"> a effet antagoniste (effet bénéfique)</w:t>
      </w:r>
      <w:r w:rsidR="00E41A81">
        <w:rPr>
          <w:rFonts w:asciiTheme="majorBidi" w:hAnsiTheme="majorBidi" w:cstheme="majorBidi"/>
          <w:sz w:val="24"/>
          <w:szCs w:val="24"/>
        </w:rPr>
        <w:t>.</w:t>
      </w:r>
    </w:p>
    <w:p w:rsidR="00D229F2" w:rsidRPr="00CF0346" w:rsidRDefault="00CF0346" w:rsidP="00301E0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Deux souches de </w:t>
      </w:r>
      <w:proofErr w:type="spellStart"/>
      <w:r w:rsidRPr="00CF0346">
        <w:rPr>
          <w:rFonts w:asciiTheme="majorBidi" w:hAnsiTheme="majorBidi" w:cstheme="majorBidi"/>
          <w:i/>
          <w:iCs/>
          <w:sz w:val="24"/>
          <w:szCs w:val="24"/>
        </w:rPr>
        <w:t>Fusarium</w:t>
      </w:r>
      <w:r>
        <w:rPr>
          <w:rFonts w:asciiTheme="majorBidi" w:hAnsiTheme="majorBidi" w:cstheme="majorBidi"/>
          <w:sz w:val="24"/>
          <w:szCs w:val="24"/>
        </w:rPr>
        <w:t>phytopatogènes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à savoir </w:t>
      </w:r>
      <w:proofErr w:type="spellStart"/>
      <w:r w:rsidRPr="00CF0346">
        <w:rPr>
          <w:rFonts w:asciiTheme="majorBidi" w:hAnsiTheme="majorBidi" w:cstheme="majorBidi"/>
          <w:i/>
          <w:iCs/>
          <w:sz w:val="24"/>
          <w:szCs w:val="24"/>
        </w:rPr>
        <w:t>Fusariumsolani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CF0346">
        <w:rPr>
          <w:rFonts w:asciiTheme="majorBidi" w:hAnsiTheme="majorBidi" w:cstheme="majorBidi"/>
          <w:i/>
          <w:iCs/>
          <w:sz w:val="24"/>
          <w:szCs w:val="24"/>
        </w:rPr>
        <w:t>Fusariumoxysporium</w:t>
      </w:r>
      <w:proofErr w:type="spellEnd"/>
      <w:r w:rsidRPr="00CF0346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:rsidR="007F1A5A" w:rsidRDefault="007F1A5A" w:rsidP="007F1A5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F1A5A" w:rsidRDefault="00DB7C41" w:rsidP="007F1A5A">
      <w:pPr>
        <w:jc w:val="both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>
        <w:rPr>
          <w:rFonts w:asciiTheme="majorBidi" w:hAnsiTheme="majorBidi" w:cstheme="majorBidi"/>
          <w:b/>
          <w:bCs/>
          <w:sz w:val="28"/>
          <w:szCs w:val="28"/>
          <w:u w:val="thick"/>
        </w:rPr>
        <w:t>Principe</w:t>
      </w:r>
    </w:p>
    <w:p w:rsidR="00DB7C41" w:rsidRDefault="00DB7C41" w:rsidP="00301E0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B7C41" w:rsidRDefault="00DB7C41" w:rsidP="00DB7C41">
      <w:pPr>
        <w:jc w:val="both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>
        <w:rPr>
          <w:rFonts w:asciiTheme="majorBidi" w:hAnsiTheme="majorBidi" w:cstheme="majorBidi"/>
          <w:b/>
          <w:bCs/>
          <w:sz w:val="28"/>
          <w:szCs w:val="28"/>
          <w:u w:val="thick"/>
        </w:rPr>
        <w:t>Matériel</w:t>
      </w:r>
    </w:p>
    <w:tbl>
      <w:tblPr>
        <w:tblStyle w:val="Grilledutableau"/>
        <w:tblW w:w="0" w:type="auto"/>
        <w:tblLook w:val="04A0"/>
      </w:tblPr>
      <w:tblGrid>
        <w:gridCol w:w="4390"/>
        <w:gridCol w:w="4672"/>
      </w:tblGrid>
      <w:tr w:rsidR="00314697" w:rsidTr="004C7D05">
        <w:tc>
          <w:tcPr>
            <w:tcW w:w="4390" w:type="dxa"/>
          </w:tcPr>
          <w:p w:rsidR="00314697" w:rsidRPr="00B164AD" w:rsidRDefault="002F4217" w:rsidP="00314697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164A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Non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</w:t>
            </w:r>
            <w:r w:rsidR="00314697" w:rsidRPr="00B164A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onsommable</w:t>
            </w:r>
          </w:p>
        </w:tc>
        <w:tc>
          <w:tcPr>
            <w:tcW w:w="4672" w:type="dxa"/>
          </w:tcPr>
          <w:p w:rsidR="00314697" w:rsidRPr="00B164AD" w:rsidRDefault="002F4217" w:rsidP="00314697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</w:t>
            </w:r>
            <w:r w:rsidR="00314697" w:rsidRPr="00B164A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onsommable</w:t>
            </w:r>
          </w:p>
        </w:tc>
      </w:tr>
      <w:tr w:rsidR="00314697" w:rsidRPr="008E6DF3" w:rsidTr="004C7D05">
        <w:tc>
          <w:tcPr>
            <w:tcW w:w="4390" w:type="dxa"/>
          </w:tcPr>
          <w:p w:rsidR="00DA1C8B" w:rsidRDefault="005770D5" w:rsidP="0023565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Anse de Platine</w:t>
            </w:r>
          </w:p>
          <w:p w:rsidR="005770D5" w:rsidRDefault="005770D5" w:rsidP="0023565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Lames</w:t>
            </w:r>
          </w:p>
          <w:p w:rsidR="005770D5" w:rsidRDefault="005770D5" w:rsidP="0023565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Lamelle</w:t>
            </w:r>
          </w:p>
          <w:p w:rsidR="005770D5" w:rsidRPr="0023565F" w:rsidRDefault="005770D5" w:rsidP="0023565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Bleu de coton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Lactophénol</w:t>
            </w:r>
            <w:proofErr w:type="spellEnd"/>
          </w:p>
        </w:tc>
        <w:tc>
          <w:tcPr>
            <w:tcW w:w="4672" w:type="dxa"/>
          </w:tcPr>
          <w:p w:rsidR="004C7D05" w:rsidRPr="005770D5" w:rsidRDefault="005770D5" w:rsidP="005770D5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  <w:lang w:val="en-CA"/>
              </w:rPr>
            </w:pPr>
            <w:proofErr w:type="spellStart"/>
            <w:r w:rsidRPr="005770D5">
              <w:rPr>
                <w:rFonts w:asciiTheme="majorBidi" w:hAnsiTheme="majorBidi" w:cstheme="majorBidi"/>
                <w:sz w:val="24"/>
                <w:szCs w:val="24"/>
                <w:lang w:val="en-CA"/>
              </w:rPr>
              <w:t>Souches</w:t>
            </w:r>
            <w:proofErr w:type="spellEnd"/>
            <w:r w:rsidRPr="005770D5">
              <w:rPr>
                <w:rFonts w:asciiTheme="majorBidi" w:hAnsiTheme="majorBidi" w:cstheme="majorBidi"/>
                <w:sz w:val="24"/>
                <w:szCs w:val="24"/>
                <w:lang w:val="en-CA"/>
              </w:rPr>
              <w:t xml:space="preserve"> : </w:t>
            </w:r>
            <w:proofErr w:type="spellStart"/>
            <w:r w:rsidRPr="005770D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>Trichoderma</w:t>
            </w:r>
            <w:proofErr w:type="spellEnd"/>
            <w:r w:rsidRPr="005770D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5770D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>harizianum</w:t>
            </w:r>
            <w:proofErr w:type="spellEnd"/>
            <w:r w:rsidRPr="005770D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 xml:space="preserve">, </w:t>
            </w:r>
            <w:proofErr w:type="spellStart"/>
            <w:r w:rsidRPr="005770D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>Fusariumsolani</w:t>
            </w:r>
            <w:r w:rsidRPr="005770D5">
              <w:rPr>
                <w:rFonts w:asciiTheme="majorBidi" w:hAnsiTheme="majorBidi" w:cstheme="majorBidi"/>
                <w:sz w:val="24"/>
                <w:szCs w:val="24"/>
                <w:lang w:val="en-CA"/>
              </w:rPr>
              <w:t>et</w:t>
            </w:r>
            <w:r w:rsidRPr="005770D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>Fusariumoxysporium</w:t>
            </w:r>
            <w:proofErr w:type="spellEnd"/>
          </w:p>
        </w:tc>
      </w:tr>
    </w:tbl>
    <w:p w:rsidR="0023565F" w:rsidRPr="005770D5" w:rsidRDefault="0023565F" w:rsidP="00DB7C41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CA"/>
        </w:rPr>
      </w:pPr>
    </w:p>
    <w:p w:rsidR="0023565F" w:rsidRPr="005770D5" w:rsidRDefault="005770D5" w:rsidP="005770D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770D5">
        <w:rPr>
          <w:rFonts w:asciiTheme="majorBidi" w:hAnsiTheme="majorBidi" w:cstheme="majorBidi"/>
          <w:b/>
          <w:bCs/>
          <w:sz w:val="28"/>
          <w:szCs w:val="28"/>
          <w:u w:val="single"/>
        </w:rPr>
        <w:t>1-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Analyse macroscopique</w:t>
      </w:r>
      <w:r w:rsidR="00FB0409" w:rsidRPr="005770D5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6928D4" w:rsidRDefault="006928D4" w:rsidP="006928D4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Principe : </w:t>
      </w:r>
      <w:r w:rsidR="008678FF">
        <w:rPr>
          <w:rFonts w:ascii="Times New Roman" w:hAnsi="Times New Roman" w:cs="Times New Roman"/>
          <w:sz w:val="24"/>
          <w:szCs w:val="24"/>
        </w:rPr>
        <w:t>l</w:t>
      </w:r>
      <w:r w:rsidR="008678FF" w:rsidRPr="00354230">
        <w:rPr>
          <w:rFonts w:ascii="Times New Roman" w:hAnsi="Times New Roman" w:cs="Times New Roman"/>
          <w:sz w:val="24"/>
          <w:szCs w:val="24"/>
        </w:rPr>
        <w:t>’examen macroscopique des souches isolées, permet de déterminer les caractères culturaux suivants : la croissance et le développement du champignon, le diamètre de la colonie, sa texture, la couleur du thalle, la couleur du revers ainsi que son odeur</w:t>
      </w:r>
    </w:p>
    <w:p w:rsidR="006928D4" w:rsidRDefault="006928D4" w:rsidP="006928D4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Caractères macroscopique de </w:t>
      </w:r>
      <w:r w:rsidRPr="00762CF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Trichoderma harzianum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6928D4" w:rsidRDefault="00B823E5" w:rsidP="006928D4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Caractères macroscopique de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Fusariumsolani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CF0542" w:rsidRDefault="00B823E5" w:rsidP="00B823E5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Caractères macroscopique de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Fusarium</w:t>
      </w:r>
      <w:proofErr w:type="spellEnd"/>
      <w:r w:rsidR="00BE0F7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oxysporium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B823E5" w:rsidRPr="005770D5" w:rsidRDefault="00B823E5" w:rsidP="008678FF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Pr="005770D5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Analyse microscopique</w:t>
      </w:r>
      <w:r w:rsidRPr="005770D5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B823E5" w:rsidRDefault="00B823E5" w:rsidP="008678FF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Principe :</w:t>
      </w:r>
      <w:r w:rsidR="008678FF">
        <w:rPr>
          <w:rFonts w:asciiTheme="majorBidi" w:hAnsiTheme="majorBidi" w:cstheme="majorBidi"/>
          <w:sz w:val="28"/>
          <w:szCs w:val="28"/>
        </w:rPr>
        <w:t xml:space="preserve"> l</w:t>
      </w:r>
      <w:r w:rsidR="008678FF" w:rsidRPr="00354230">
        <w:rPr>
          <w:rFonts w:ascii="Times New Roman" w:hAnsi="Times New Roman" w:cs="Times New Roman"/>
          <w:sz w:val="24"/>
          <w:szCs w:val="24"/>
        </w:rPr>
        <w:t xml:space="preserve">’observation microscopique s’effectue sur un petit fragment mycélien soigneusement prélevé à la marge du thalle à l’aide d’une Anse de Platine stérile. Le fragment prélevé est ensuite coloré avec de </w:t>
      </w:r>
      <w:proofErr w:type="spellStart"/>
      <w:r w:rsidR="008678FF" w:rsidRPr="00354230">
        <w:rPr>
          <w:rFonts w:ascii="Times New Roman" w:hAnsi="Times New Roman" w:cs="Times New Roman"/>
          <w:sz w:val="24"/>
          <w:szCs w:val="24"/>
        </w:rPr>
        <w:t>Lactophènole</w:t>
      </w:r>
      <w:proofErr w:type="spellEnd"/>
      <w:r w:rsidR="008678FF" w:rsidRPr="00354230">
        <w:rPr>
          <w:rFonts w:ascii="Times New Roman" w:hAnsi="Times New Roman" w:cs="Times New Roman"/>
          <w:sz w:val="24"/>
          <w:szCs w:val="24"/>
        </w:rPr>
        <w:t xml:space="preserve"> Bleu de Cotton, ce qui permet ainsi de détecter la présence et la nature du </w:t>
      </w:r>
      <w:proofErr w:type="spellStart"/>
      <w:r w:rsidR="008678FF" w:rsidRPr="00354230">
        <w:rPr>
          <w:rFonts w:ascii="Times New Roman" w:hAnsi="Times New Roman" w:cs="Times New Roman"/>
          <w:sz w:val="24"/>
          <w:szCs w:val="24"/>
        </w:rPr>
        <w:t>mycelium</w:t>
      </w:r>
      <w:proofErr w:type="spellEnd"/>
      <w:r w:rsidR="008678FF" w:rsidRPr="00354230">
        <w:rPr>
          <w:rFonts w:ascii="Times New Roman" w:hAnsi="Times New Roman" w:cs="Times New Roman"/>
          <w:sz w:val="24"/>
          <w:szCs w:val="24"/>
        </w:rPr>
        <w:t>, la présence ou l’</w:t>
      </w:r>
      <w:proofErr w:type="spellStart"/>
      <w:r w:rsidR="008678FF" w:rsidRPr="00354230">
        <w:rPr>
          <w:rFonts w:ascii="Times New Roman" w:hAnsi="Times New Roman" w:cs="Times New Roman"/>
          <w:sz w:val="24"/>
          <w:szCs w:val="24"/>
        </w:rPr>
        <w:t>abscence</w:t>
      </w:r>
      <w:proofErr w:type="spellEnd"/>
      <w:r w:rsidR="008678FF" w:rsidRPr="00354230">
        <w:rPr>
          <w:rFonts w:ascii="Times New Roman" w:hAnsi="Times New Roman" w:cs="Times New Roman"/>
          <w:sz w:val="24"/>
          <w:szCs w:val="24"/>
        </w:rPr>
        <w:t xml:space="preserve"> du septum, les caractéristiques des fructifications et spores etc.</w:t>
      </w:r>
    </w:p>
    <w:p w:rsidR="00B823E5" w:rsidRDefault="00B823E5" w:rsidP="00B823E5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Caractères microscopique de Trichoderma harzianum :</w:t>
      </w:r>
    </w:p>
    <w:p w:rsidR="00B823E5" w:rsidRDefault="00B823E5" w:rsidP="00B823E5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Caractères microscopique de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Fusarium</w:t>
      </w:r>
      <w:proofErr w:type="spellEnd"/>
      <w:r w:rsidR="00BE0F7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solani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B823E5" w:rsidRPr="006928D4" w:rsidRDefault="00B823E5" w:rsidP="00B823E5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Caractères microscopique de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Fusarium</w:t>
      </w:r>
      <w:proofErr w:type="spellEnd"/>
      <w:r w:rsidR="00BE0F7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oxysporium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B823E5" w:rsidRDefault="00B823E5" w:rsidP="00B823E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6DF3" w:rsidRDefault="008E6DF3" w:rsidP="00B823E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6DF3" w:rsidRDefault="008E6DF3" w:rsidP="00B823E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6DF3" w:rsidRDefault="008E6DF3" w:rsidP="00B823E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6DF3" w:rsidRDefault="008E6DF3" w:rsidP="00B823E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6DF3" w:rsidRDefault="008E6DF3" w:rsidP="00B823E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6DF3" w:rsidRDefault="008E6DF3" w:rsidP="00B823E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6DF3" w:rsidRDefault="008E6DF3" w:rsidP="00B823E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6DF3" w:rsidRDefault="008E6DF3" w:rsidP="00B823E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6DF3" w:rsidRDefault="008E6DF3" w:rsidP="00B823E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6DF3" w:rsidRDefault="008E6DF3" w:rsidP="00B823E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6DF3" w:rsidRPr="00B823E5" w:rsidRDefault="008E6DF3" w:rsidP="00B823E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F0542" w:rsidRDefault="00CF0542" w:rsidP="007F1A5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1318E" w:rsidRDefault="00F1318E" w:rsidP="007F1A5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1318E" w:rsidRDefault="00F1318E" w:rsidP="007F1A5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E49F5" w:rsidRDefault="007E49F5" w:rsidP="007E49F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Université des Frères </w:t>
      </w:r>
      <w:proofErr w:type="spellStart"/>
      <w:r>
        <w:rPr>
          <w:rFonts w:asciiTheme="majorBidi" w:hAnsiTheme="majorBidi" w:cstheme="majorBidi"/>
        </w:rPr>
        <w:t>Mentouri</w:t>
      </w:r>
      <w:proofErr w:type="spellEnd"/>
      <w:r>
        <w:rPr>
          <w:rFonts w:asciiTheme="majorBidi" w:hAnsiTheme="majorBidi" w:cstheme="majorBidi"/>
        </w:rPr>
        <w:t xml:space="preserve"> 1</w:t>
      </w:r>
    </w:p>
    <w:p w:rsidR="007E49F5" w:rsidRDefault="007E49F5" w:rsidP="007E49F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Faculté des Sciences de la Nature et de la vie</w:t>
      </w:r>
    </w:p>
    <w:p w:rsidR="007E49F5" w:rsidRDefault="007E49F5" w:rsidP="007E49F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Département de Microbiologie</w:t>
      </w:r>
    </w:p>
    <w:p w:rsidR="007E49F5" w:rsidRDefault="007E49F5" w:rsidP="007E49F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Master 1 : Mycologie et Biotechnologie fongique</w:t>
      </w:r>
    </w:p>
    <w:p w:rsidR="007E49F5" w:rsidRDefault="007E49F5" w:rsidP="007E49F5">
      <w:pPr>
        <w:rPr>
          <w:rFonts w:asciiTheme="majorBidi" w:hAnsiTheme="majorBidi" w:cstheme="majorBidi"/>
          <w:sz w:val="28"/>
          <w:szCs w:val="28"/>
        </w:rPr>
      </w:pPr>
    </w:p>
    <w:p w:rsidR="007E49F5" w:rsidRDefault="007E49F5" w:rsidP="007E49F5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Matière : Biotechnologique fongique II</w:t>
      </w:r>
    </w:p>
    <w:p w:rsidR="00CF0542" w:rsidRDefault="00CF0542" w:rsidP="00CF0542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CF0542" w:rsidRPr="00C04DB3" w:rsidRDefault="007E49F5" w:rsidP="00CF0542">
      <w:pPr>
        <w:tabs>
          <w:tab w:val="left" w:pos="1950"/>
          <w:tab w:val="center" w:pos="4536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wave"/>
        </w:rPr>
      </w:pPr>
      <w:r>
        <w:rPr>
          <w:rFonts w:asciiTheme="majorBidi" w:hAnsiTheme="majorBidi" w:cstheme="majorBidi"/>
          <w:b/>
          <w:bCs/>
          <w:sz w:val="28"/>
          <w:szCs w:val="28"/>
          <w:u w:val="wave"/>
        </w:rPr>
        <w:t>TP 2</w:t>
      </w:r>
      <w:r w:rsidR="00AE3A20">
        <w:rPr>
          <w:rFonts w:asciiTheme="majorBidi" w:hAnsiTheme="majorBidi" w:cstheme="majorBidi"/>
          <w:b/>
          <w:bCs/>
          <w:sz w:val="28"/>
          <w:szCs w:val="28"/>
          <w:u w:val="wave"/>
        </w:rPr>
        <w:t xml:space="preserve"> : Tests d’antagonisme (confrontation direct et indirect) </w:t>
      </w:r>
    </w:p>
    <w:p w:rsidR="00CF0542" w:rsidRDefault="00CF0542" w:rsidP="00CF0542">
      <w:pPr>
        <w:jc w:val="center"/>
        <w:rPr>
          <w:rFonts w:asciiTheme="majorBidi" w:hAnsiTheme="majorBidi" w:cstheme="majorBidi"/>
          <w:b/>
          <w:bCs/>
          <w:sz w:val="28"/>
          <w:szCs w:val="28"/>
          <w:u w:val="wave"/>
        </w:rPr>
      </w:pPr>
    </w:p>
    <w:p w:rsidR="00CF0542" w:rsidRDefault="00CF0542" w:rsidP="00CF0542">
      <w:pPr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>
        <w:rPr>
          <w:rFonts w:asciiTheme="majorBidi" w:hAnsiTheme="majorBidi" w:cstheme="majorBidi"/>
          <w:b/>
          <w:bCs/>
          <w:sz w:val="28"/>
          <w:szCs w:val="28"/>
          <w:u w:val="thick"/>
        </w:rPr>
        <w:t>But</w:t>
      </w:r>
    </w:p>
    <w:p w:rsidR="00CF0542" w:rsidRPr="00AE3A20" w:rsidRDefault="00AE3A20" w:rsidP="00CF0542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mise en évidence de l’effet de </w:t>
      </w:r>
      <w:r w:rsidRPr="00AE3A20">
        <w:rPr>
          <w:rFonts w:asciiTheme="majorBidi" w:hAnsiTheme="majorBidi" w:cstheme="majorBidi"/>
          <w:i/>
          <w:iCs/>
          <w:sz w:val="24"/>
          <w:szCs w:val="24"/>
        </w:rPr>
        <w:t>Trichoderma harzianum</w:t>
      </w:r>
      <w:r>
        <w:rPr>
          <w:rFonts w:asciiTheme="majorBidi" w:hAnsiTheme="majorBidi" w:cstheme="majorBidi"/>
          <w:sz w:val="24"/>
          <w:szCs w:val="24"/>
        </w:rPr>
        <w:t xml:space="preserve"> visa à vis de </w:t>
      </w:r>
      <w:proofErr w:type="spellStart"/>
      <w:r w:rsidRPr="00AE3A20">
        <w:rPr>
          <w:rFonts w:asciiTheme="majorBidi" w:hAnsiTheme="majorBidi" w:cstheme="majorBidi"/>
          <w:i/>
          <w:iCs/>
          <w:sz w:val="24"/>
          <w:szCs w:val="24"/>
        </w:rPr>
        <w:t>Fusariumoxysporium</w:t>
      </w:r>
      <w:r w:rsidRPr="00AE3A20">
        <w:rPr>
          <w:rFonts w:asciiTheme="majorBidi" w:hAnsiTheme="majorBidi" w:cstheme="majorBidi"/>
          <w:sz w:val="24"/>
          <w:szCs w:val="24"/>
        </w:rPr>
        <w:t>et</w:t>
      </w:r>
      <w:r w:rsidRPr="00AE3A20">
        <w:rPr>
          <w:rFonts w:asciiTheme="majorBidi" w:hAnsiTheme="majorBidi" w:cstheme="majorBidi"/>
          <w:i/>
          <w:iCs/>
          <w:sz w:val="24"/>
          <w:szCs w:val="24"/>
        </w:rPr>
        <w:t>Fusariumsolani</w:t>
      </w:r>
      <w:proofErr w:type="spellEnd"/>
      <w:r w:rsidR="00CF0542" w:rsidRPr="00AE3A20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CF0542" w:rsidRDefault="00CF0542" w:rsidP="00CF054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F0542" w:rsidRDefault="00CF0542" w:rsidP="00CF0542">
      <w:pPr>
        <w:jc w:val="both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>
        <w:rPr>
          <w:rFonts w:asciiTheme="majorBidi" w:hAnsiTheme="majorBidi" w:cstheme="majorBidi"/>
          <w:b/>
          <w:bCs/>
          <w:sz w:val="28"/>
          <w:szCs w:val="28"/>
          <w:u w:val="thick"/>
        </w:rPr>
        <w:t>Principe</w:t>
      </w:r>
    </w:p>
    <w:p w:rsidR="00CF0542" w:rsidRDefault="003975D5" w:rsidP="00AE3A2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 TP consiste à réaliser </w:t>
      </w:r>
      <w:r w:rsidR="00AE3A20">
        <w:rPr>
          <w:rFonts w:asciiTheme="majorBidi" w:hAnsiTheme="majorBidi" w:cstheme="majorBidi"/>
          <w:sz w:val="24"/>
          <w:szCs w:val="24"/>
        </w:rPr>
        <w:t xml:space="preserve">deux types de confrontation entre une souche antagoniste (T. harzianum) et l’une des souches pathogènes (F. </w:t>
      </w:r>
      <w:proofErr w:type="spellStart"/>
      <w:r w:rsidR="00AE3A20">
        <w:rPr>
          <w:rFonts w:asciiTheme="majorBidi" w:hAnsiTheme="majorBidi" w:cstheme="majorBidi"/>
          <w:sz w:val="24"/>
          <w:szCs w:val="24"/>
        </w:rPr>
        <w:t>solani</w:t>
      </w:r>
      <w:proofErr w:type="spellEnd"/>
      <w:r w:rsidR="00AE3A20">
        <w:rPr>
          <w:rFonts w:asciiTheme="majorBidi" w:hAnsiTheme="majorBidi" w:cstheme="majorBidi"/>
          <w:sz w:val="24"/>
          <w:szCs w:val="24"/>
        </w:rPr>
        <w:t xml:space="preserve"> ou </w:t>
      </w:r>
      <w:proofErr w:type="spellStart"/>
      <w:r w:rsidR="00AE3A20">
        <w:rPr>
          <w:rFonts w:asciiTheme="majorBidi" w:hAnsiTheme="majorBidi" w:cstheme="majorBidi"/>
          <w:sz w:val="24"/>
          <w:szCs w:val="24"/>
        </w:rPr>
        <w:t>Fusariumoxysporium</w:t>
      </w:r>
      <w:proofErr w:type="spellEnd"/>
      <w:r w:rsidR="00AE3A20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. En effet, </w:t>
      </w:r>
      <w:r w:rsidR="00AE3A20">
        <w:rPr>
          <w:rFonts w:asciiTheme="majorBidi" w:hAnsiTheme="majorBidi" w:cstheme="majorBidi"/>
          <w:sz w:val="24"/>
          <w:szCs w:val="24"/>
        </w:rPr>
        <w:t>les confrontations sont de deux types :</w:t>
      </w:r>
    </w:p>
    <w:p w:rsidR="00AE3A20" w:rsidRDefault="00AE3A20" w:rsidP="00AE3A20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Confrontation direct (contact directe)</w:t>
      </w:r>
    </w:p>
    <w:p w:rsidR="00AE3A20" w:rsidRDefault="00AE3A20" w:rsidP="00AE3A20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Confrontation indirect (contact indirect)</w:t>
      </w:r>
    </w:p>
    <w:p w:rsidR="00AE3A20" w:rsidRPr="00AE3A20" w:rsidRDefault="00AE3A20" w:rsidP="00AE3A20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CF0542" w:rsidRDefault="00CF0542" w:rsidP="00CF0542">
      <w:pPr>
        <w:jc w:val="both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>
        <w:rPr>
          <w:rFonts w:asciiTheme="majorBidi" w:hAnsiTheme="majorBidi" w:cstheme="majorBidi"/>
          <w:b/>
          <w:bCs/>
          <w:sz w:val="28"/>
          <w:szCs w:val="28"/>
          <w:u w:val="thick"/>
        </w:rPr>
        <w:t>Matériel</w:t>
      </w:r>
    </w:p>
    <w:tbl>
      <w:tblPr>
        <w:tblStyle w:val="Grilledutableau"/>
        <w:tblW w:w="0" w:type="auto"/>
        <w:tblLook w:val="04A0"/>
      </w:tblPr>
      <w:tblGrid>
        <w:gridCol w:w="4390"/>
        <w:gridCol w:w="4672"/>
      </w:tblGrid>
      <w:tr w:rsidR="00CF0542" w:rsidTr="0092235C">
        <w:tc>
          <w:tcPr>
            <w:tcW w:w="4390" w:type="dxa"/>
          </w:tcPr>
          <w:p w:rsidR="00CF0542" w:rsidRPr="00B164AD" w:rsidRDefault="00CF0542" w:rsidP="0092235C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164A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Consommable</w:t>
            </w:r>
          </w:p>
        </w:tc>
        <w:tc>
          <w:tcPr>
            <w:tcW w:w="4672" w:type="dxa"/>
          </w:tcPr>
          <w:p w:rsidR="00CF0542" w:rsidRPr="00B164AD" w:rsidRDefault="00CF0542" w:rsidP="0092235C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164A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Non consommable</w:t>
            </w:r>
          </w:p>
        </w:tc>
      </w:tr>
      <w:tr w:rsidR="00CF0542" w:rsidTr="0092235C">
        <w:tc>
          <w:tcPr>
            <w:tcW w:w="4390" w:type="dxa"/>
          </w:tcPr>
          <w:p w:rsidR="00CF0542" w:rsidRDefault="0076191C" w:rsidP="0076191C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4"/>
                <w:szCs w:val="24"/>
                <w:lang w:val="en-CA"/>
              </w:rPr>
            </w:pPr>
            <w:proofErr w:type="spellStart"/>
            <w:r w:rsidRPr="0076191C">
              <w:rPr>
                <w:rFonts w:asciiTheme="majorBidi" w:hAnsiTheme="majorBidi" w:cstheme="majorBidi"/>
                <w:sz w:val="24"/>
                <w:szCs w:val="24"/>
                <w:lang w:val="en-CA"/>
              </w:rPr>
              <w:t>Souches</w:t>
            </w:r>
            <w:proofErr w:type="spellEnd"/>
            <w:r w:rsidRPr="0076191C">
              <w:rPr>
                <w:rFonts w:asciiTheme="majorBidi" w:hAnsiTheme="majorBidi" w:cstheme="majorBidi"/>
                <w:sz w:val="24"/>
                <w:szCs w:val="24"/>
                <w:lang w:val="en-CA"/>
              </w:rPr>
              <w:t xml:space="preserve"> : </w:t>
            </w:r>
            <w:proofErr w:type="spellStart"/>
            <w:r w:rsidRPr="0076191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>Trichoderma</w:t>
            </w:r>
            <w:proofErr w:type="spellEnd"/>
            <w:r w:rsidRPr="0076191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76191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>harizianum</w:t>
            </w:r>
            <w:proofErr w:type="spellEnd"/>
            <w:r w:rsidRPr="0076191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 xml:space="preserve">, </w:t>
            </w:r>
            <w:proofErr w:type="spellStart"/>
            <w:r w:rsidRPr="0076191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>Fusariumsolani</w:t>
            </w:r>
            <w:r w:rsidRPr="0076191C">
              <w:rPr>
                <w:rFonts w:asciiTheme="majorBidi" w:hAnsiTheme="majorBidi" w:cstheme="majorBidi"/>
                <w:sz w:val="24"/>
                <w:szCs w:val="24"/>
                <w:lang w:val="en-CA"/>
              </w:rPr>
              <w:t>et</w:t>
            </w:r>
            <w:r w:rsidRPr="0076191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>Fusariumoxysporium</w:t>
            </w:r>
            <w:proofErr w:type="spellEnd"/>
          </w:p>
          <w:p w:rsidR="0076191C" w:rsidRPr="0076191C" w:rsidRDefault="0076191C" w:rsidP="0076191C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CA"/>
              </w:rPr>
              <w:t>Milieu PDA</w:t>
            </w:r>
          </w:p>
        </w:tc>
        <w:tc>
          <w:tcPr>
            <w:tcW w:w="4672" w:type="dxa"/>
          </w:tcPr>
          <w:p w:rsidR="004C383E" w:rsidRPr="0076191C" w:rsidRDefault="0076191C" w:rsidP="004C383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Boites de Pétri</w:t>
            </w:r>
          </w:p>
          <w:p w:rsidR="0076191C" w:rsidRPr="0076191C" w:rsidRDefault="0076191C" w:rsidP="004C383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Pipettes Pasteur</w:t>
            </w:r>
          </w:p>
          <w:p w:rsidR="0076191C" w:rsidRPr="0076191C" w:rsidRDefault="0076191C" w:rsidP="004C383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Para film</w:t>
            </w:r>
          </w:p>
          <w:p w:rsidR="0076191C" w:rsidRPr="004C383E" w:rsidRDefault="0076191C" w:rsidP="0076191C">
            <w:pPr>
              <w:pStyle w:val="Paragraphedeliste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</w:rPr>
            </w:pPr>
          </w:p>
        </w:tc>
      </w:tr>
    </w:tbl>
    <w:p w:rsidR="006D5DD7" w:rsidRDefault="006D5DD7" w:rsidP="00CF054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D5DD7" w:rsidRDefault="006D5DD7" w:rsidP="00845FC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D5DD7">
        <w:rPr>
          <w:rFonts w:asciiTheme="majorBidi" w:hAnsiTheme="majorBidi" w:cstheme="majorBidi"/>
          <w:b/>
          <w:bCs/>
          <w:sz w:val="28"/>
          <w:szCs w:val="28"/>
          <w:u w:val="single"/>
        </w:rPr>
        <w:t>1-</w:t>
      </w:r>
      <w:r w:rsidR="00845FC2">
        <w:rPr>
          <w:rFonts w:asciiTheme="majorBidi" w:hAnsiTheme="majorBidi" w:cstheme="majorBidi"/>
          <w:b/>
          <w:bCs/>
          <w:sz w:val="28"/>
          <w:szCs w:val="28"/>
          <w:u w:val="single"/>
        </w:rPr>
        <w:t>Test de confrontation direct</w:t>
      </w:r>
      <w:r w:rsidR="00CF0542" w:rsidRPr="006D5DD7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845FC2" w:rsidRDefault="00845FC2" w:rsidP="00845FC2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Après refroidissement des milieux, couler les boites de Pétri </w:t>
      </w:r>
    </w:p>
    <w:p w:rsidR="00845FC2" w:rsidRDefault="00845FC2" w:rsidP="00845FC2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Prenez un disque d’une culture jeune de T. harzianum et un autre de F. </w:t>
      </w:r>
      <w:proofErr w:type="spellStart"/>
      <w:r>
        <w:rPr>
          <w:rFonts w:asciiTheme="majorBidi" w:hAnsiTheme="majorBidi" w:cstheme="majorBidi"/>
          <w:sz w:val="24"/>
          <w:szCs w:val="24"/>
        </w:rPr>
        <w:t>solani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ou F. </w:t>
      </w:r>
      <w:proofErr w:type="spellStart"/>
      <w:r>
        <w:rPr>
          <w:rFonts w:asciiTheme="majorBidi" w:hAnsiTheme="majorBidi" w:cstheme="majorBidi"/>
          <w:sz w:val="24"/>
          <w:szCs w:val="24"/>
        </w:rPr>
        <w:t>oxysporium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déposer les sur la même boite Pétri à une distance d’environ 3 cm.</w:t>
      </w:r>
    </w:p>
    <w:p w:rsidR="00845FC2" w:rsidRDefault="00845FC2" w:rsidP="00845FC2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Fermer les boites et placer les en incubation à 30°C pendant 7jours</w:t>
      </w:r>
    </w:p>
    <w:p w:rsidR="0053556D" w:rsidRPr="00845FC2" w:rsidRDefault="0090485A" w:rsidP="0053556D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rect id="Rectangle 2" o:spid="_x0000_s1026" style="position:absolute;left:0;text-align:left;margin-left:52.9pt;margin-top:71.1pt;width:69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" fillcolor="white [3212]" strokecolor="white [3212]" strokeweight="1pt"/>
        </w:pict>
      </w:r>
      <w:r w:rsidR="0053556D" w:rsidRPr="0053556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4314825" cy="923925"/>
            <wp:effectExtent l="190500" t="190500" r="200025" b="200025"/>
            <wp:docPr id="18" name="Image 17" descr="C:\Users\hiba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C:\Users\hiba\Desktop\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63A2" w:rsidRDefault="000D32F4" w:rsidP="00845FC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32F4">
        <w:rPr>
          <w:rFonts w:asciiTheme="majorBidi" w:hAnsiTheme="majorBidi" w:cstheme="majorBidi"/>
          <w:b/>
          <w:bCs/>
          <w:sz w:val="28"/>
          <w:szCs w:val="28"/>
          <w:u w:val="single"/>
        </w:rPr>
        <w:t>2-</w:t>
      </w:r>
      <w:r w:rsidR="00845FC2">
        <w:rPr>
          <w:rFonts w:asciiTheme="majorBidi" w:hAnsiTheme="majorBidi" w:cstheme="majorBidi"/>
          <w:b/>
          <w:bCs/>
          <w:sz w:val="28"/>
          <w:szCs w:val="28"/>
          <w:u w:val="single"/>
        </w:rPr>
        <w:t>Test de confrontation indirect</w:t>
      </w:r>
      <w:r w:rsidR="000F63A2" w:rsidRPr="000D32F4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845FC2" w:rsidRDefault="00845FC2" w:rsidP="00845FC2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Après refroidissement des milieux, couler les boites de Pétri </w:t>
      </w:r>
    </w:p>
    <w:p w:rsidR="00845FC2" w:rsidRDefault="00845FC2" w:rsidP="00845FC2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Prenez un disque d’une culture jeune de T. harzianum et placer le au centre d’une première boite de Pétri. Ensuite, placer un autre disque de F. </w:t>
      </w:r>
      <w:proofErr w:type="spellStart"/>
      <w:r>
        <w:rPr>
          <w:rFonts w:asciiTheme="majorBidi" w:hAnsiTheme="majorBidi" w:cstheme="majorBidi"/>
          <w:sz w:val="24"/>
          <w:szCs w:val="24"/>
        </w:rPr>
        <w:t>solani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ou F. </w:t>
      </w:r>
      <w:proofErr w:type="spellStart"/>
      <w:r>
        <w:rPr>
          <w:rFonts w:asciiTheme="majorBidi" w:hAnsiTheme="majorBidi" w:cstheme="majorBidi"/>
          <w:sz w:val="24"/>
          <w:szCs w:val="24"/>
        </w:rPr>
        <w:t>oxysporium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sur le centre d’une seconde boite Pétrie.</w:t>
      </w:r>
    </w:p>
    <w:p w:rsidR="00845FC2" w:rsidRDefault="00845FC2" w:rsidP="00845FC2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Relier les deux boites d’une façon superposée </w:t>
      </w:r>
    </w:p>
    <w:p w:rsidR="000D32F4" w:rsidRDefault="00845FC2" w:rsidP="00EE4304">
      <w:pPr>
        <w:pStyle w:val="Paragraphedeliste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Placer les boites en incubation à 30°C pendant 7jours</w:t>
      </w:r>
    </w:p>
    <w:p w:rsidR="0053556D" w:rsidRPr="00EE4304" w:rsidRDefault="0090485A" w:rsidP="008678FF">
      <w:pPr>
        <w:pStyle w:val="Paragraphedeliste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Rectangle 3" o:spid="_x0000_s1027" style="position:absolute;left:0;text-align:left;margin-left:229.9pt;margin-top:27.4pt;width:91.5pt;height:11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" fillcolor="white [3212]" strokecolor="white [3212]" strokeweight="1pt"/>
        </w:pict>
      </w:r>
      <w:r w:rsidR="0053556D" w:rsidRPr="0053556D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3686175" cy="1190625"/>
            <wp:effectExtent l="190500" t="190500" r="200025" b="200025"/>
            <wp:docPr id="20" name="Image 19" descr="C:\Users\hiba\Desktop\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 descr="C:\Users\hiba\Desktop\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98" cy="1190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78FF" w:rsidRDefault="000D32F4" w:rsidP="008678FF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32F4">
        <w:rPr>
          <w:rFonts w:asciiTheme="majorBidi" w:hAnsiTheme="majorBidi" w:cstheme="majorBidi"/>
          <w:b/>
          <w:bCs/>
          <w:sz w:val="28"/>
          <w:szCs w:val="28"/>
          <w:u w:val="single"/>
        </w:rPr>
        <w:t>3-</w:t>
      </w:r>
      <w:r w:rsidR="00EE4304">
        <w:rPr>
          <w:rFonts w:asciiTheme="majorBidi" w:hAnsiTheme="majorBidi" w:cstheme="majorBidi"/>
          <w:b/>
          <w:bCs/>
          <w:sz w:val="28"/>
          <w:szCs w:val="28"/>
          <w:u w:val="single"/>
        </w:rPr>
        <w:t>Lecture</w:t>
      </w:r>
      <w:r w:rsidRPr="000D32F4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0D32F4" w:rsidRPr="008678FF" w:rsidRDefault="00EE4304" w:rsidP="008678FF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Après une semaine d’i</w:t>
      </w:r>
      <w:r w:rsidR="0053556D">
        <w:rPr>
          <w:rFonts w:asciiTheme="majorBidi" w:hAnsiTheme="majorBidi" w:cstheme="majorBidi"/>
          <w:sz w:val="24"/>
          <w:szCs w:val="24"/>
        </w:rPr>
        <w:t>ncubation mesurer les distances à l’aide d’une règle et calculer le pourcentage d’inhibition comme suit :</w:t>
      </w:r>
    </w:p>
    <w:p w:rsidR="008678FF" w:rsidRPr="00F63DC7" w:rsidRDefault="008678FF" w:rsidP="008678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DC7">
        <w:rPr>
          <w:rFonts w:ascii="Times New Roman" w:hAnsi="Times New Roman" w:cs="Times New Roman"/>
          <w:b/>
          <w:bCs/>
          <w:color w:val="1D1B11"/>
          <w:sz w:val="24"/>
          <w:szCs w:val="24"/>
        </w:rPr>
        <w:t>IC%= (DT-DPA / DT) X 100</w:t>
      </w:r>
    </w:p>
    <w:p w:rsidR="008678FF" w:rsidRPr="00F63DC7" w:rsidRDefault="008678FF" w:rsidP="00867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C7">
        <w:rPr>
          <w:rFonts w:ascii="Times New Roman" w:hAnsi="Times New Roman" w:cs="Times New Roman"/>
          <w:sz w:val="24"/>
          <w:szCs w:val="24"/>
        </w:rPr>
        <w:t>Où :</w:t>
      </w:r>
    </w:p>
    <w:p w:rsidR="008678FF" w:rsidRPr="00F63DC7" w:rsidRDefault="008678FF" w:rsidP="0086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C7">
        <w:rPr>
          <w:rFonts w:ascii="Times New Roman" w:hAnsi="Times New Roman" w:cs="Times New Roman"/>
          <w:sz w:val="24"/>
          <w:szCs w:val="24"/>
        </w:rPr>
        <w:t>DT : Croissance diamétrale du témoin ;</w:t>
      </w:r>
    </w:p>
    <w:p w:rsidR="008678FF" w:rsidRPr="00F63DC7" w:rsidRDefault="008678FF" w:rsidP="0086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C7">
        <w:rPr>
          <w:rFonts w:ascii="Times New Roman" w:hAnsi="Times New Roman" w:cs="Times New Roman"/>
          <w:sz w:val="24"/>
          <w:szCs w:val="24"/>
        </w:rPr>
        <w:t>DPA : Croissance diamétrale mycélienne du pathogène en présence de l'antagoniste ;</w:t>
      </w:r>
    </w:p>
    <w:p w:rsidR="008678FF" w:rsidRDefault="008678FF" w:rsidP="0086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DC7">
        <w:rPr>
          <w:rFonts w:ascii="Times New Roman" w:hAnsi="Times New Roman" w:cs="Times New Roman"/>
          <w:sz w:val="24"/>
          <w:szCs w:val="24"/>
        </w:rPr>
        <w:t>IC%: Inhibition de la croissance.</w:t>
      </w:r>
    </w:p>
    <w:p w:rsidR="0053556D" w:rsidRPr="000D32F4" w:rsidRDefault="0053556D" w:rsidP="000D32F4">
      <w:pPr>
        <w:rPr>
          <w:rFonts w:asciiTheme="majorBidi" w:hAnsiTheme="majorBidi" w:cstheme="majorBidi"/>
          <w:sz w:val="24"/>
          <w:szCs w:val="24"/>
          <w:rtl/>
        </w:rPr>
      </w:pPr>
    </w:p>
    <w:p w:rsidR="000F63A2" w:rsidRDefault="000F63A2" w:rsidP="000F63A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4217" w:rsidRDefault="002F4217" w:rsidP="000F63A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0FD5" w:rsidRDefault="00140FD5" w:rsidP="000F63A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62CF0" w:rsidRDefault="00762CF0" w:rsidP="00762CF0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Université des Frères </w:t>
      </w:r>
      <w:proofErr w:type="spellStart"/>
      <w:r>
        <w:rPr>
          <w:rFonts w:asciiTheme="majorBidi" w:hAnsiTheme="majorBidi" w:cstheme="majorBidi"/>
        </w:rPr>
        <w:t>Mentouri</w:t>
      </w:r>
      <w:proofErr w:type="spellEnd"/>
      <w:r>
        <w:rPr>
          <w:rFonts w:asciiTheme="majorBidi" w:hAnsiTheme="majorBidi" w:cstheme="majorBidi"/>
        </w:rPr>
        <w:t xml:space="preserve"> 1</w:t>
      </w:r>
    </w:p>
    <w:p w:rsidR="00762CF0" w:rsidRDefault="00762CF0" w:rsidP="00762CF0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Faculté des Sciences de la Nature et de la vie</w:t>
      </w:r>
    </w:p>
    <w:p w:rsidR="00762CF0" w:rsidRDefault="00762CF0" w:rsidP="00762CF0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Département de Microbiologie</w:t>
      </w:r>
    </w:p>
    <w:p w:rsidR="00762CF0" w:rsidRDefault="00762CF0" w:rsidP="00762CF0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Master 1 : Mycologie et Biotechnologie fongique</w:t>
      </w:r>
    </w:p>
    <w:p w:rsidR="00762CF0" w:rsidRDefault="00762CF0" w:rsidP="00762CF0">
      <w:pPr>
        <w:rPr>
          <w:rFonts w:asciiTheme="majorBidi" w:hAnsiTheme="majorBidi" w:cstheme="majorBidi"/>
          <w:sz w:val="28"/>
          <w:szCs w:val="28"/>
        </w:rPr>
      </w:pPr>
    </w:p>
    <w:p w:rsidR="00762CF0" w:rsidRDefault="00762CF0" w:rsidP="00762CF0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Matière : Biotechnologique fongique II</w:t>
      </w:r>
      <w:bookmarkStart w:id="0" w:name="_GoBack"/>
      <w:bookmarkEnd w:id="0"/>
    </w:p>
    <w:p w:rsidR="00762CF0" w:rsidRDefault="00762CF0" w:rsidP="00762CF0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762CF0" w:rsidRPr="00C04DB3" w:rsidRDefault="00762CF0" w:rsidP="00762CF0">
      <w:pPr>
        <w:tabs>
          <w:tab w:val="left" w:pos="1950"/>
          <w:tab w:val="center" w:pos="4536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wave"/>
        </w:rPr>
      </w:pPr>
      <w:r>
        <w:rPr>
          <w:rFonts w:asciiTheme="majorBidi" w:hAnsiTheme="majorBidi" w:cstheme="majorBidi"/>
          <w:b/>
          <w:bCs/>
          <w:sz w:val="28"/>
          <w:szCs w:val="28"/>
          <w:u w:val="wave"/>
        </w:rPr>
        <w:t xml:space="preserve">TP 3 : Effet des rayons UV sur </w:t>
      </w:r>
      <w:r w:rsidRPr="00762CF0">
        <w:rPr>
          <w:rFonts w:asciiTheme="majorBidi" w:hAnsiTheme="majorBidi" w:cstheme="majorBidi"/>
          <w:b/>
          <w:bCs/>
          <w:i/>
          <w:iCs/>
          <w:sz w:val="28"/>
          <w:szCs w:val="28"/>
          <w:u w:val="wave"/>
        </w:rPr>
        <w:t>Trichoderma harzianum</w:t>
      </w:r>
    </w:p>
    <w:p w:rsidR="00762CF0" w:rsidRDefault="00762CF0" w:rsidP="00762CF0">
      <w:pPr>
        <w:jc w:val="center"/>
        <w:rPr>
          <w:rFonts w:asciiTheme="majorBidi" w:hAnsiTheme="majorBidi" w:cstheme="majorBidi"/>
          <w:b/>
          <w:bCs/>
          <w:sz w:val="28"/>
          <w:szCs w:val="28"/>
          <w:u w:val="wave"/>
        </w:rPr>
      </w:pPr>
    </w:p>
    <w:p w:rsidR="00762CF0" w:rsidRDefault="00762CF0" w:rsidP="00762CF0">
      <w:pPr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>
        <w:rPr>
          <w:rFonts w:asciiTheme="majorBidi" w:hAnsiTheme="majorBidi" w:cstheme="majorBidi"/>
          <w:b/>
          <w:bCs/>
          <w:sz w:val="28"/>
          <w:szCs w:val="28"/>
          <w:u w:val="thick"/>
        </w:rPr>
        <w:t>But</w:t>
      </w:r>
    </w:p>
    <w:p w:rsidR="00762CF0" w:rsidRPr="00AE3A20" w:rsidRDefault="00762CF0" w:rsidP="00762CF0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mise en évidence de l’effet des rayons UV sur le pouvoir antagoniste de </w:t>
      </w:r>
      <w:r w:rsidRPr="00AE3A20">
        <w:rPr>
          <w:rFonts w:asciiTheme="majorBidi" w:hAnsiTheme="majorBidi" w:cstheme="majorBidi"/>
          <w:i/>
          <w:iCs/>
          <w:sz w:val="24"/>
          <w:szCs w:val="24"/>
        </w:rPr>
        <w:t>Trichoderma harzianum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62CF0" w:rsidRDefault="00762CF0" w:rsidP="00762CF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62CF0" w:rsidRDefault="00762CF0" w:rsidP="00762CF0">
      <w:pPr>
        <w:jc w:val="both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>
        <w:rPr>
          <w:rFonts w:asciiTheme="majorBidi" w:hAnsiTheme="majorBidi" w:cstheme="majorBidi"/>
          <w:b/>
          <w:bCs/>
          <w:sz w:val="28"/>
          <w:szCs w:val="28"/>
          <w:u w:val="thick"/>
        </w:rPr>
        <w:t>Principe</w:t>
      </w:r>
    </w:p>
    <w:p w:rsidR="00762CF0" w:rsidRDefault="00762CF0" w:rsidP="00762CF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 TP consiste à réaliser des mutations sur une souche antagoniste (T. harzianum) et tester l’efficacité des essais de mutagénèse par les deux méthodes de confrontations (TP2).</w:t>
      </w:r>
    </w:p>
    <w:p w:rsidR="00762CF0" w:rsidRPr="00AE3A20" w:rsidRDefault="00762CF0" w:rsidP="00762CF0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762CF0" w:rsidRDefault="00762CF0" w:rsidP="00762CF0">
      <w:pPr>
        <w:jc w:val="both"/>
        <w:rPr>
          <w:rFonts w:asciiTheme="majorBidi" w:hAnsiTheme="majorBidi" w:cstheme="majorBidi"/>
          <w:b/>
          <w:bCs/>
          <w:sz w:val="28"/>
          <w:szCs w:val="28"/>
          <w:u w:val="thick"/>
        </w:rPr>
      </w:pPr>
      <w:r>
        <w:rPr>
          <w:rFonts w:asciiTheme="majorBidi" w:hAnsiTheme="majorBidi" w:cstheme="majorBidi"/>
          <w:b/>
          <w:bCs/>
          <w:sz w:val="28"/>
          <w:szCs w:val="28"/>
          <w:u w:val="thick"/>
        </w:rPr>
        <w:t>Matériel</w:t>
      </w:r>
    </w:p>
    <w:tbl>
      <w:tblPr>
        <w:tblStyle w:val="Grilledutableau"/>
        <w:tblW w:w="0" w:type="auto"/>
        <w:tblLook w:val="04A0"/>
      </w:tblPr>
      <w:tblGrid>
        <w:gridCol w:w="4390"/>
        <w:gridCol w:w="4672"/>
      </w:tblGrid>
      <w:tr w:rsidR="00762CF0" w:rsidTr="00355303">
        <w:tc>
          <w:tcPr>
            <w:tcW w:w="4390" w:type="dxa"/>
          </w:tcPr>
          <w:p w:rsidR="00762CF0" w:rsidRPr="00B164AD" w:rsidRDefault="00762CF0" w:rsidP="00355303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164A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Consommable</w:t>
            </w:r>
          </w:p>
        </w:tc>
        <w:tc>
          <w:tcPr>
            <w:tcW w:w="4672" w:type="dxa"/>
          </w:tcPr>
          <w:p w:rsidR="00762CF0" w:rsidRPr="00B164AD" w:rsidRDefault="00762CF0" w:rsidP="00355303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164A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Non consommable</w:t>
            </w:r>
          </w:p>
        </w:tc>
      </w:tr>
      <w:tr w:rsidR="00762CF0" w:rsidTr="00355303">
        <w:tc>
          <w:tcPr>
            <w:tcW w:w="4390" w:type="dxa"/>
          </w:tcPr>
          <w:p w:rsidR="00762CF0" w:rsidRDefault="00762CF0" w:rsidP="0035530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4"/>
                <w:szCs w:val="24"/>
                <w:lang w:val="en-CA"/>
              </w:rPr>
            </w:pPr>
            <w:proofErr w:type="spellStart"/>
            <w:r w:rsidRPr="0076191C">
              <w:rPr>
                <w:rFonts w:asciiTheme="majorBidi" w:hAnsiTheme="majorBidi" w:cstheme="majorBidi"/>
                <w:sz w:val="24"/>
                <w:szCs w:val="24"/>
                <w:lang w:val="en-CA"/>
              </w:rPr>
              <w:t>Souches</w:t>
            </w:r>
            <w:proofErr w:type="spellEnd"/>
            <w:r w:rsidRPr="0076191C">
              <w:rPr>
                <w:rFonts w:asciiTheme="majorBidi" w:hAnsiTheme="majorBidi" w:cstheme="majorBidi"/>
                <w:sz w:val="24"/>
                <w:szCs w:val="24"/>
                <w:lang w:val="en-CA"/>
              </w:rPr>
              <w:t xml:space="preserve"> : </w:t>
            </w:r>
            <w:proofErr w:type="spellStart"/>
            <w:r w:rsidRPr="0076191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>Trichoderma</w:t>
            </w:r>
            <w:proofErr w:type="spellEnd"/>
            <w:r w:rsidRPr="0076191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76191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>harizianum</w:t>
            </w:r>
            <w:proofErr w:type="spellEnd"/>
            <w:r w:rsidRPr="0076191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 xml:space="preserve">, </w:t>
            </w:r>
            <w:proofErr w:type="spellStart"/>
            <w:r w:rsidRPr="0076191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>Fusariumsolani</w:t>
            </w:r>
            <w:r w:rsidRPr="0076191C">
              <w:rPr>
                <w:rFonts w:asciiTheme="majorBidi" w:hAnsiTheme="majorBidi" w:cstheme="majorBidi"/>
                <w:sz w:val="24"/>
                <w:szCs w:val="24"/>
                <w:lang w:val="en-CA"/>
              </w:rPr>
              <w:t>et</w:t>
            </w:r>
            <w:r w:rsidRPr="0076191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CA"/>
              </w:rPr>
              <w:t>Fusariumoxysporium</w:t>
            </w:r>
            <w:proofErr w:type="spellEnd"/>
          </w:p>
          <w:p w:rsidR="00762CF0" w:rsidRPr="0076191C" w:rsidRDefault="00762CF0" w:rsidP="0035530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4"/>
                <w:szCs w:val="24"/>
                <w:lang w:val="en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CA"/>
              </w:rPr>
              <w:t>Milieu PDA</w:t>
            </w:r>
          </w:p>
        </w:tc>
        <w:tc>
          <w:tcPr>
            <w:tcW w:w="4672" w:type="dxa"/>
          </w:tcPr>
          <w:p w:rsidR="00762CF0" w:rsidRPr="0076191C" w:rsidRDefault="00762CF0" w:rsidP="0035530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Boites de Pétri</w:t>
            </w:r>
          </w:p>
          <w:p w:rsidR="00762CF0" w:rsidRPr="0076191C" w:rsidRDefault="00762CF0" w:rsidP="0035530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Pipettes Pasteur</w:t>
            </w:r>
          </w:p>
          <w:p w:rsidR="00762CF0" w:rsidRPr="00762CF0" w:rsidRDefault="00762CF0" w:rsidP="0035530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Para film</w:t>
            </w:r>
          </w:p>
          <w:p w:rsidR="00762CF0" w:rsidRPr="0076191C" w:rsidRDefault="00762CF0" w:rsidP="0035530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Lampe UV</w:t>
            </w:r>
          </w:p>
          <w:p w:rsidR="00762CF0" w:rsidRPr="004C383E" w:rsidRDefault="00762CF0" w:rsidP="00355303">
            <w:pPr>
              <w:pStyle w:val="Paragraphedeliste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thick"/>
              </w:rPr>
            </w:pPr>
          </w:p>
        </w:tc>
      </w:tr>
    </w:tbl>
    <w:p w:rsidR="00140FD5" w:rsidRDefault="00140FD5" w:rsidP="00140FD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40FD5" w:rsidRDefault="00CA4C90" w:rsidP="00140FD5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Mode opératoire</w:t>
      </w:r>
      <w:r w:rsidRPr="006D5DD7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762CF0" w:rsidRDefault="00762CF0" w:rsidP="00762CF0">
      <w:pPr>
        <w:pStyle w:val="Paragraphedeliste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Réaliser une série de mutation à l’aide d’une lampe UV en exposant une boite de Pétri contenant un mycélium jeune de Trichoderma harzianum </w:t>
      </w:r>
      <w:r w:rsidR="00B22801">
        <w:rPr>
          <w:rFonts w:asciiTheme="majorBidi" w:hAnsiTheme="majorBidi" w:cstheme="majorBidi"/>
          <w:sz w:val="24"/>
          <w:szCs w:val="24"/>
        </w:rPr>
        <w:t>pendant 10, 20, 30 et 40 min</w:t>
      </w:r>
    </w:p>
    <w:p w:rsidR="00B22801" w:rsidRPr="00762CF0" w:rsidRDefault="00B22801" w:rsidP="00762CF0">
      <w:pPr>
        <w:pStyle w:val="Paragraphedeliste"/>
        <w:numPr>
          <w:ilvl w:val="0"/>
          <w:numId w:val="2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Répéter le test de confrontation direct pour valoriser l’effet des rayons UV.</w:t>
      </w:r>
    </w:p>
    <w:sectPr w:rsidR="00B22801" w:rsidRPr="00762CF0" w:rsidSect="0027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8F3"/>
    <w:multiLevelType w:val="hybridMultilevel"/>
    <w:tmpl w:val="A39C35E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B91"/>
    <w:multiLevelType w:val="hybridMultilevel"/>
    <w:tmpl w:val="A39C35E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6C2E"/>
    <w:multiLevelType w:val="hybridMultilevel"/>
    <w:tmpl w:val="E410FE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80CB2"/>
    <w:multiLevelType w:val="hybridMultilevel"/>
    <w:tmpl w:val="7C3203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052B"/>
    <w:multiLevelType w:val="hybridMultilevel"/>
    <w:tmpl w:val="5FD016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45AD"/>
    <w:multiLevelType w:val="hybridMultilevel"/>
    <w:tmpl w:val="8954FFAC"/>
    <w:lvl w:ilvl="0" w:tplc="35FC9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02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AE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4F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46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4A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4A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20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0D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D46177"/>
    <w:multiLevelType w:val="hybridMultilevel"/>
    <w:tmpl w:val="D390DB0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FC7C4D"/>
    <w:multiLevelType w:val="hybridMultilevel"/>
    <w:tmpl w:val="9C865878"/>
    <w:lvl w:ilvl="0" w:tplc="413C1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56179"/>
    <w:multiLevelType w:val="hybridMultilevel"/>
    <w:tmpl w:val="6A9E8A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51FC6"/>
    <w:multiLevelType w:val="hybridMultilevel"/>
    <w:tmpl w:val="5360DB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54C28"/>
    <w:multiLevelType w:val="hybridMultilevel"/>
    <w:tmpl w:val="BCFEE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64FB"/>
    <w:multiLevelType w:val="hybridMultilevel"/>
    <w:tmpl w:val="772C5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C2442"/>
    <w:multiLevelType w:val="hybridMultilevel"/>
    <w:tmpl w:val="56D6BF9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22A91"/>
    <w:multiLevelType w:val="hybridMultilevel"/>
    <w:tmpl w:val="78EC51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707F0"/>
    <w:multiLevelType w:val="hybridMultilevel"/>
    <w:tmpl w:val="45228C1E"/>
    <w:lvl w:ilvl="0" w:tplc="C832D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965BC"/>
    <w:multiLevelType w:val="hybridMultilevel"/>
    <w:tmpl w:val="62A845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60C82"/>
    <w:multiLevelType w:val="hybridMultilevel"/>
    <w:tmpl w:val="2CC6F7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E0B6E"/>
    <w:multiLevelType w:val="hybridMultilevel"/>
    <w:tmpl w:val="6B90EF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44B3E"/>
    <w:multiLevelType w:val="hybridMultilevel"/>
    <w:tmpl w:val="7C02EF7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133C20"/>
    <w:multiLevelType w:val="hybridMultilevel"/>
    <w:tmpl w:val="A502A7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A1444"/>
    <w:multiLevelType w:val="hybridMultilevel"/>
    <w:tmpl w:val="2DA8C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94402"/>
    <w:multiLevelType w:val="hybridMultilevel"/>
    <w:tmpl w:val="8DFED494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23B44EC"/>
    <w:multiLevelType w:val="hybridMultilevel"/>
    <w:tmpl w:val="AC907B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21ECB"/>
    <w:multiLevelType w:val="hybridMultilevel"/>
    <w:tmpl w:val="7B60B02E"/>
    <w:lvl w:ilvl="0" w:tplc="12326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510E6"/>
    <w:multiLevelType w:val="hybridMultilevel"/>
    <w:tmpl w:val="01EE78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E73EB"/>
    <w:multiLevelType w:val="hybridMultilevel"/>
    <w:tmpl w:val="923EFA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2"/>
  </w:num>
  <w:num w:numId="5">
    <w:abstractNumId w:val="19"/>
  </w:num>
  <w:num w:numId="6">
    <w:abstractNumId w:val="7"/>
  </w:num>
  <w:num w:numId="7">
    <w:abstractNumId w:val="6"/>
  </w:num>
  <w:num w:numId="8">
    <w:abstractNumId w:val="18"/>
  </w:num>
  <w:num w:numId="9">
    <w:abstractNumId w:val="21"/>
  </w:num>
  <w:num w:numId="10">
    <w:abstractNumId w:val="16"/>
  </w:num>
  <w:num w:numId="11">
    <w:abstractNumId w:val="11"/>
  </w:num>
  <w:num w:numId="12">
    <w:abstractNumId w:val="23"/>
  </w:num>
  <w:num w:numId="13">
    <w:abstractNumId w:val="3"/>
  </w:num>
  <w:num w:numId="14">
    <w:abstractNumId w:val="25"/>
  </w:num>
  <w:num w:numId="15">
    <w:abstractNumId w:val="24"/>
  </w:num>
  <w:num w:numId="16">
    <w:abstractNumId w:val="14"/>
  </w:num>
  <w:num w:numId="17">
    <w:abstractNumId w:val="22"/>
  </w:num>
  <w:num w:numId="18">
    <w:abstractNumId w:val="4"/>
  </w:num>
  <w:num w:numId="19">
    <w:abstractNumId w:val="12"/>
  </w:num>
  <w:num w:numId="20">
    <w:abstractNumId w:val="9"/>
  </w:num>
  <w:num w:numId="21">
    <w:abstractNumId w:val="10"/>
  </w:num>
  <w:num w:numId="22">
    <w:abstractNumId w:val="0"/>
  </w:num>
  <w:num w:numId="23">
    <w:abstractNumId w:val="1"/>
  </w:num>
  <w:num w:numId="24">
    <w:abstractNumId w:val="20"/>
  </w:num>
  <w:num w:numId="25">
    <w:abstractNumId w:val="1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085"/>
    <w:rsid w:val="000356D5"/>
    <w:rsid w:val="0003771D"/>
    <w:rsid w:val="000B4129"/>
    <w:rsid w:val="000D32F4"/>
    <w:rsid w:val="000E4820"/>
    <w:rsid w:val="000F63A2"/>
    <w:rsid w:val="00140FD5"/>
    <w:rsid w:val="001B42E0"/>
    <w:rsid w:val="0023565F"/>
    <w:rsid w:val="002402A1"/>
    <w:rsid w:val="00270B24"/>
    <w:rsid w:val="002D0661"/>
    <w:rsid w:val="002F4217"/>
    <w:rsid w:val="00301E0D"/>
    <w:rsid w:val="00314697"/>
    <w:rsid w:val="00333205"/>
    <w:rsid w:val="00367C77"/>
    <w:rsid w:val="00376A53"/>
    <w:rsid w:val="003975D5"/>
    <w:rsid w:val="003A7DFF"/>
    <w:rsid w:val="003C2E8C"/>
    <w:rsid w:val="004C383E"/>
    <w:rsid w:val="004C7D05"/>
    <w:rsid w:val="00502437"/>
    <w:rsid w:val="0053556D"/>
    <w:rsid w:val="005770D5"/>
    <w:rsid w:val="005B5946"/>
    <w:rsid w:val="005E3122"/>
    <w:rsid w:val="006928D4"/>
    <w:rsid w:val="006D2968"/>
    <w:rsid w:val="006D5DD7"/>
    <w:rsid w:val="00705E9B"/>
    <w:rsid w:val="0076191C"/>
    <w:rsid w:val="00761D3A"/>
    <w:rsid w:val="00762CF0"/>
    <w:rsid w:val="007E49F5"/>
    <w:rsid w:val="007F1A5A"/>
    <w:rsid w:val="00845FC2"/>
    <w:rsid w:val="008678FF"/>
    <w:rsid w:val="008B089F"/>
    <w:rsid w:val="008E6DF3"/>
    <w:rsid w:val="008F0DAF"/>
    <w:rsid w:val="008F4FC6"/>
    <w:rsid w:val="0090485A"/>
    <w:rsid w:val="00986B8B"/>
    <w:rsid w:val="009F1E88"/>
    <w:rsid w:val="00A1451B"/>
    <w:rsid w:val="00A52D73"/>
    <w:rsid w:val="00A63085"/>
    <w:rsid w:val="00AE3A20"/>
    <w:rsid w:val="00B164AD"/>
    <w:rsid w:val="00B22801"/>
    <w:rsid w:val="00B76756"/>
    <w:rsid w:val="00B823E5"/>
    <w:rsid w:val="00BD4F59"/>
    <w:rsid w:val="00BE0F7E"/>
    <w:rsid w:val="00C04DB3"/>
    <w:rsid w:val="00C15A4D"/>
    <w:rsid w:val="00C23E33"/>
    <w:rsid w:val="00C310CF"/>
    <w:rsid w:val="00CA4C90"/>
    <w:rsid w:val="00CC48E7"/>
    <w:rsid w:val="00CD4CE9"/>
    <w:rsid w:val="00CF0346"/>
    <w:rsid w:val="00CF0542"/>
    <w:rsid w:val="00D2037D"/>
    <w:rsid w:val="00D229F2"/>
    <w:rsid w:val="00D93DDD"/>
    <w:rsid w:val="00DA1C8B"/>
    <w:rsid w:val="00DB7C41"/>
    <w:rsid w:val="00E41A81"/>
    <w:rsid w:val="00E923C1"/>
    <w:rsid w:val="00EE4304"/>
    <w:rsid w:val="00EE6880"/>
    <w:rsid w:val="00F1318E"/>
    <w:rsid w:val="00F377C5"/>
    <w:rsid w:val="00F928AA"/>
    <w:rsid w:val="00FA31C1"/>
    <w:rsid w:val="00FB0409"/>
    <w:rsid w:val="00F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A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8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A81"/>
    <w:pPr>
      <w:ind w:left="720"/>
      <w:contextualSpacing/>
    </w:pPr>
  </w:style>
  <w:style w:type="table" w:styleId="TableGrid">
    <w:name w:val="Table Grid"/>
    <w:basedOn w:val="TableNormal"/>
    <w:uiPriority w:val="39"/>
    <w:rsid w:val="0031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3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 TOSHIBA</dc:creator>
  <cp:lastModifiedBy>toshiba</cp:lastModifiedBy>
  <cp:revision>13</cp:revision>
  <cp:lastPrinted>2017-02-26T19:56:00Z</cp:lastPrinted>
  <dcterms:created xsi:type="dcterms:W3CDTF">2018-02-11T16:01:00Z</dcterms:created>
  <dcterms:modified xsi:type="dcterms:W3CDTF">2020-03-16T09:07:00Z</dcterms:modified>
</cp:coreProperties>
</file>